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 xml:space="preserve">3GPP TSG-RAN WG2 Meeting #119-e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R2-220</w:t>
      </w:r>
      <w:r>
        <w:rPr>
          <w:rFonts w:hint="eastAsia" w:ascii="Arial" w:hAnsi="Arial" w:eastAsia="宋体" w:cs="Arial"/>
          <w:b/>
          <w:kern w:val="0"/>
          <w:sz w:val="22"/>
          <w:lang w:val="en-US" w:eastAsia="zh-CN"/>
        </w:rPr>
        <w:t>8449</w:t>
      </w:r>
    </w:p>
    <w:p>
      <w:pPr>
        <w:overflowPunct w:val="0"/>
        <w:autoSpaceDE w:val="0"/>
        <w:autoSpaceDN w:val="0"/>
        <w:adjustRightInd w:val="0"/>
        <w:jc w:val="left"/>
        <w:textAlignment w:val="baseline"/>
        <w:rPr>
          <w:rFonts w:ascii="Arial" w:hAnsi="Arial" w:eastAsia="宋体" w:cs="Arial"/>
          <w:b/>
          <w:bCs/>
          <w:kern w:val="0"/>
          <w:sz w:val="24"/>
          <w:szCs w:val="24"/>
          <w:lang w:val="en-GB"/>
        </w:rPr>
      </w:pPr>
      <w:r>
        <w:rPr>
          <w:rFonts w:ascii="Arial" w:hAnsi="Arial" w:eastAsia="宋体" w:cs="Arial"/>
          <w:b/>
          <w:bCs/>
          <w:kern w:val="0"/>
          <w:sz w:val="24"/>
          <w:szCs w:val="24"/>
          <w:lang w:val="en-GB"/>
        </w:rPr>
        <w:t>Electronic Meeting, 17 – 29 August, 2022</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bookmarkStart w:id="0" w:name="_GoBack"/>
      <w:bookmarkEnd w:id="0"/>
    </w:p>
    <w:p>
      <w:pPr>
        <w:widowControl/>
        <w:tabs>
          <w:tab w:val="left" w:pos="1985"/>
        </w:tabs>
        <w:spacing w:after="120"/>
        <w:jc w:val="left"/>
        <w:rPr>
          <w:rFonts w:ascii="Arial" w:hAnsi="Arial" w:eastAsia="宋体" w:cs="Arial"/>
          <w:b/>
          <w:bCs/>
          <w:kern w:val="0"/>
          <w:sz w:val="24"/>
          <w:szCs w:val="20"/>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ascii="Arial" w:hAnsi="Arial" w:eastAsia="宋体" w:cs="Arial"/>
          <w:b/>
          <w:bCs/>
          <w:kern w:val="0"/>
          <w:sz w:val="24"/>
          <w:szCs w:val="20"/>
          <w:lang w:val="en-GB"/>
        </w:rPr>
        <w:t>8.</w:t>
      </w:r>
      <w:r>
        <w:rPr>
          <w:rFonts w:hint="eastAsia" w:ascii="Arial" w:hAnsi="Arial" w:eastAsia="宋体" w:cs="Arial"/>
          <w:b/>
          <w:bCs/>
          <w:kern w:val="0"/>
          <w:sz w:val="24"/>
          <w:szCs w:val="20"/>
        </w:rPr>
        <w:t>6</w:t>
      </w:r>
      <w:r>
        <w:rPr>
          <w:rFonts w:ascii="Arial" w:hAnsi="Arial" w:eastAsia="宋体" w:cs="Arial"/>
          <w:b/>
          <w:bCs/>
          <w:kern w:val="0"/>
          <w:sz w:val="24"/>
          <w:szCs w:val="20"/>
          <w:lang w:val="en-GB"/>
        </w:rPr>
        <w:t>.</w:t>
      </w:r>
      <w:r>
        <w:rPr>
          <w:rFonts w:hint="eastAsia" w:ascii="Arial" w:hAnsi="Arial" w:eastAsia="宋体" w:cs="Arial"/>
          <w:b/>
          <w:bCs/>
          <w:kern w:val="0"/>
          <w:sz w:val="24"/>
          <w:szCs w:val="20"/>
        </w:rPr>
        <w:t>3</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the </w:t>
      </w:r>
      <w:r>
        <w:rPr>
          <w:rFonts w:hint="eastAsia" w:ascii="Arial" w:hAnsi="Arial" w:eastAsia="宋体" w:cs="Arial"/>
          <w:b/>
          <w:bCs/>
          <w:kern w:val="0"/>
          <w:sz w:val="24"/>
          <w:szCs w:val="20"/>
        </w:rPr>
        <w:t>mobility enhancement for IoT-NTN</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IoT_NTN_enh</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 and Decision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1</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In RAN#94</w:t>
      </w:r>
      <w:r>
        <w:rPr>
          <w:rFonts w:hint="eastAsia" w:ascii="Arial" w:hAnsi="Arial" w:eastAsia="宋体" w:cs="Arial"/>
          <w:kern w:val="0"/>
          <w:sz w:val="20"/>
          <w:szCs w:val="20"/>
          <w:lang w:val="en-GB"/>
        </w:rPr>
        <w:t>-e</w:t>
      </w:r>
      <w:r>
        <w:rPr>
          <w:rFonts w:ascii="Arial" w:hAnsi="Arial" w:eastAsia="宋体" w:cs="Arial"/>
          <w:kern w:val="0"/>
          <w:sz w:val="20"/>
          <w:szCs w:val="20"/>
          <w:lang w:val="en-GB" w:eastAsia="en-US"/>
        </w:rPr>
        <w:t xml:space="preserve">, a new </w:t>
      </w:r>
      <w:r>
        <w:rPr>
          <w:rFonts w:hint="eastAsia" w:ascii="Arial" w:hAnsi="Arial" w:eastAsia="宋体" w:cs="Arial"/>
          <w:kern w:val="0"/>
          <w:sz w:val="20"/>
          <w:szCs w:val="20"/>
        </w:rPr>
        <w:t>W</w:t>
      </w:r>
      <w:r>
        <w:rPr>
          <w:rFonts w:ascii="Arial" w:hAnsi="Arial" w:eastAsia="宋体" w:cs="Arial"/>
          <w:kern w:val="0"/>
          <w:sz w:val="20"/>
          <w:szCs w:val="20"/>
          <w:lang w:val="en-GB" w:eastAsia="en-US"/>
        </w:rPr>
        <w:t xml:space="preserve">ID </w:t>
      </w:r>
      <w:r>
        <w:rPr>
          <w:rFonts w:hint="eastAsia" w:ascii="Arial" w:hAnsi="Arial" w:eastAsia="宋体" w:cs="Arial"/>
          <w:kern w:val="0"/>
          <w:sz w:val="20"/>
          <w:szCs w:val="20"/>
          <w:lang w:val="en-GB" w:eastAsia="en-US"/>
        </w:rPr>
        <w:t>IoT NTN enhancements</w:t>
      </w:r>
      <w:r>
        <w:rPr>
          <w:rFonts w:ascii="Arial" w:hAnsi="Arial" w:eastAsia="宋体" w:cs="Arial"/>
          <w:kern w:val="0"/>
          <w:sz w:val="20"/>
          <w:szCs w:val="20"/>
          <w:lang w:val="en-GB" w:eastAsia="en-US"/>
        </w:rPr>
        <w:t xml:space="preserve"> [1] was agreed, and one of the objectives is about </w:t>
      </w:r>
      <w:r>
        <w:rPr>
          <w:rFonts w:hint="eastAsia" w:ascii="Arial" w:hAnsi="Arial" w:eastAsia="宋体" w:cs="Arial"/>
          <w:kern w:val="0"/>
          <w:sz w:val="20"/>
          <w:szCs w:val="20"/>
        </w:rPr>
        <w:t>mobility enhancements</w:t>
      </w:r>
      <w:r>
        <w:rPr>
          <w:rFonts w:ascii="Arial" w:hAnsi="Arial" w:eastAsia="宋体" w:cs="Arial"/>
          <w:kern w:val="0"/>
          <w:sz w:val="20"/>
          <w:szCs w:val="20"/>
          <w:lang w:val="en-GB" w:eastAsia="en-US"/>
        </w:rPr>
        <w:t xml:space="preserve"> as following: </w:t>
      </w:r>
    </w:p>
    <w:tbl>
      <w:tblPr>
        <w:tblStyle w:val="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3" w:type="dxa"/>
          </w:tcPr>
          <w:p>
            <w:pPr>
              <w:spacing w:after="120" w:line="260" w:lineRule="auto"/>
              <w:rPr>
                <w:rFonts w:ascii="Arial" w:hAnsi="Arial" w:eastAsia="宋体" w:cs="Arial"/>
                <w:bCs/>
                <w:sz w:val="20"/>
                <w:szCs w:val="21"/>
                <w:lang w:val="en-GB" w:eastAsia="en-GB"/>
              </w:rPr>
            </w:pPr>
            <w:r>
              <w:rPr>
                <w:rFonts w:ascii="Arial" w:hAnsi="Arial" w:eastAsia="宋体" w:cs="Arial"/>
                <w:bCs/>
                <w:sz w:val="20"/>
                <w:szCs w:val="21"/>
                <w:lang w:val="en-GB" w:eastAsia="en-GB"/>
              </w:rPr>
              <w:t>4.1.2</w:t>
            </w:r>
            <w:r>
              <w:rPr>
                <w:rFonts w:ascii="Arial" w:hAnsi="Arial" w:eastAsia="宋体" w:cs="Arial"/>
                <w:bCs/>
                <w:sz w:val="20"/>
                <w:szCs w:val="21"/>
                <w:lang w:val="en-GB" w:eastAsia="en-GB"/>
              </w:rPr>
              <w:tab/>
            </w:r>
            <w:r>
              <w:rPr>
                <w:rFonts w:ascii="Arial" w:hAnsi="Arial" w:eastAsia="宋体" w:cs="Arial"/>
                <w:bCs/>
                <w:sz w:val="20"/>
                <w:szCs w:val="21"/>
                <w:lang w:val="en-GB" w:eastAsia="en-GB"/>
              </w:rPr>
              <w:t>Mobility enhancements</w:t>
            </w:r>
          </w:p>
          <w:p>
            <w:pPr>
              <w:spacing w:after="120" w:line="260" w:lineRule="auto"/>
              <w:rPr>
                <w:rFonts w:ascii="Arial" w:hAnsi="Arial" w:eastAsia="宋体" w:cs="Arial"/>
                <w:sz w:val="20"/>
                <w:szCs w:val="21"/>
                <w:lang w:val="en-GB" w:eastAsia="en-GB"/>
              </w:rPr>
            </w:pPr>
            <w:r>
              <w:rPr>
                <w:rFonts w:ascii="Arial" w:hAnsi="Arial" w:eastAsia="宋体" w:cs="Arial"/>
                <w:sz w:val="20"/>
                <w:szCs w:val="21"/>
                <w:lang w:val="en-GB" w:eastAsia="en-GB"/>
              </w:rPr>
              <w:t>The following mobility enhancements objectives are listed.</w:t>
            </w:r>
          </w:p>
          <w:p>
            <w:pPr>
              <w:pStyle w:val="14"/>
              <w:spacing w:after="120" w:line="260" w:lineRule="auto"/>
              <w:rPr>
                <w:rFonts w:ascii="Arial" w:hAnsi="Arial" w:eastAsia="宋体" w:cs="Arial"/>
                <w:sz w:val="20"/>
                <w:szCs w:val="21"/>
                <w:lang w:val="en-GB" w:eastAsia="en-GB"/>
              </w:rPr>
            </w:pPr>
            <w:r>
              <w:rPr>
                <w:rFonts w:ascii="Arial" w:hAnsi="Arial" w:eastAsia="宋体" w:cs="Arial"/>
                <w:sz w:val="20"/>
                <w:szCs w:val="21"/>
                <w:lang w:val="en-GB" w:eastAsia="en-GB"/>
              </w:rPr>
              <w:t>-</w:t>
            </w:r>
            <w:r>
              <w:rPr>
                <w:rFonts w:ascii="Arial" w:hAnsi="Arial" w:eastAsia="宋体" w:cs="Arial"/>
                <w:sz w:val="20"/>
                <w:szCs w:val="21"/>
                <w:lang w:val="en-GB" w:eastAsia="en-GB"/>
              </w:rPr>
              <w:tab/>
            </w:r>
            <w:r>
              <w:rPr>
                <w:rFonts w:ascii="Arial" w:hAnsi="Arial" w:eastAsia="宋体" w:cs="Arial"/>
                <w:sz w:val="20"/>
                <w:szCs w:val="21"/>
                <w:lang w:val="en-GB" w:eastAsia="en-GB"/>
              </w:rPr>
              <w:t>Support of neighbour cell measurements and corresponding measurement triggering before RLF, using Rel</w:t>
            </w:r>
            <w:r>
              <w:rPr>
                <w:rFonts w:ascii="Arial" w:hAnsi="Arial" w:eastAsia="宋体" w:cs="Arial"/>
                <w:sz w:val="20"/>
                <w:szCs w:val="21"/>
                <w:lang w:val="en-GB" w:eastAsia="en-GB"/>
              </w:rPr>
              <w:noBreakHyphen/>
            </w:r>
            <w:r>
              <w:rPr>
                <w:rFonts w:ascii="Arial" w:hAnsi="Arial" w:eastAsia="宋体" w:cs="Arial"/>
                <w:sz w:val="20"/>
                <w:szCs w:val="21"/>
                <w:lang w:val="en-GB" w:eastAsia="en-GB"/>
              </w:rPr>
              <w:t>17 (TN) NB-IoT, eMTC as a baseline. [RAN2]</w:t>
            </w:r>
          </w:p>
          <w:p>
            <w:pPr>
              <w:pStyle w:val="14"/>
              <w:spacing w:after="120" w:line="260" w:lineRule="auto"/>
              <w:rPr>
                <w:rFonts w:ascii="Arial" w:hAnsi="Arial" w:eastAsia="宋体" w:cs="Arial"/>
                <w:sz w:val="20"/>
                <w:szCs w:val="21"/>
                <w:lang w:val="en-GB" w:eastAsia="en-GB"/>
              </w:rPr>
            </w:pPr>
            <w:r>
              <w:rPr>
                <w:rFonts w:ascii="Arial" w:hAnsi="Arial" w:eastAsia="宋体" w:cs="Arial"/>
                <w:sz w:val="20"/>
                <w:szCs w:val="21"/>
                <w:lang w:val="en-GB" w:eastAsia="en-GB"/>
              </w:rPr>
              <w:t>-</w:t>
            </w:r>
            <w:r>
              <w:rPr>
                <w:rFonts w:ascii="Arial" w:hAnsi="Arial" w:eastAsia="宋体" w:cs="Arial"/>
                <w:sz w:val="20"/>
                <w:szCs w:val="21"/>
                <w:lang w:val="en-GB" w:eastAsia="en-GB"/>
              </w:rPr>
              <w:tab/>
            </w:r>
            <w:r>
              <w:rPr>
                <w:rFonts w:ascii="Arial" w:hAnsi="Arial" w:eastAsia="宋体" w:cs="Arial"/>
                <w:sz w:val="20"/>
                <w:szCs w:val="21"/>
                <w:lang w:val="en-GB" w:eastAsia="en-GB"/>
              </w:rPr>
              <w:t>Re-use the solutions introduced in Rel-17 NR NTN for mobility enhancements for eMTC, with minimum necessary changes to adapt them to eMTC [RAN2]</w:t>
            </w:r>
          </w:p>
          <w:p>
            <w:pPr>
              <w:pStyle w:val="14"/>
              <w:numPr>
                <w:ilvl w:val="0"/>
                <w:numId w:val="1"/>
              </w:numPr>
              <w:spacing w:after="120" w:line="260" w:lineRule="auto"/>
              <w:ind w:left="567" w:hanging="283"/>
              <w:rPr>
                <w:rFonts w:ascii="Times New Roman" w:hAnsi="Times New Roman" w:eastAsia="宋体" w:cs="Times New Roman"/>
                <w:kern w:val="0"/>
                <w:sz w:val="20"/>
                <w:szCs w:val="20"/>
                <w:lang w:val="en-GB" w:eastAsia="en-GB"/>
              </w:rPr>
            </w:pPr>
            <w:r>
              <w:rPr>
                <w:rFonts w:ascii="Arial" w:hAnsi="Arial" w:eastAsia="宋体" w:cs="Arial"/>
                <w:sz w:val="20"/>
                <w:szCs w:val="21"/>
                <w:lang w:val="en-GB" w:eastAsia="en-GB"/>
              </w:rPr>
              <w:t>Define UE RRM core requirements for the above mobility enhancement features [RAN4].</w:t>
            </w:r>
          </w:p>
        </w:tc>
      </w:tr>
    </w:tbl>
    <w:p>
      <w:pPr>
        <w:widowControl/>
        <w:spacing w:after="180"/>
        <w:rPr>
          <w:rFonts w:ascii="Arial" w:hAnsi="Arial" w:eastAsia="宋体" w:cs="Arial"/>
          <w:kern w:val="0"/>
          <w:sz w:val="20"/>
          <w:szCs w:val="20"/>
          <w:lang w:val="en-GB"/>
        </w:rPr>
      </w:pPr>
      <w:r>
        <w:rPr>
          <w:rFonts w:ascii="Arial" w:hAnsi="Arial" w:eastAsia="宋体" w:cs="Arial"/>
          <w:kern w:val="0"/>
          <w:sz w:val="20"/>
          <w:szCs w:val="20"/>
          <w:lang w:val="en-GB"/>
        </w:rPr>
        <w:t xml:space="preserve">This contribution will discuss the potential </w:t>
      </w:r>
      <w:r>
        <w:rPr>
          <w:rFonts w:hint="eastAsia" w:ascii="Arial" w:hAnsi="Arial" w:eastAsia="宋体" w:cs="Arial"/>
          <w:kern w:val="0"/>
          <w:sz w:val="20"/>
          <w:szCs w:val="20"/>
        </w:rPr>
        <w:t>mobility enhancements for IoT-NTN</w:t>
      </w:r>
      <w:r>
        <w:rPr>
          <w:rFonts w:ascii="Arial" w:hAnsi="Arial" w:eastAsia="宋体" w:cs="Arial"/>
          <w:kern w:val="0"/>
          <w:sz w:val="20"/>
          <w:szCs w:val="20"/>
          <w:lang w:val="en-GB"/>
        </w:rPr>
        <w:t>.</w:t>
      </w:r>
    </w:p>
    <w:p>
      <w:pPr>
        <w:keepNext/>
        <w:keepLines/>
        <w:widowControl/>
        <w:numPr>
          <w:ilvl w:val="0"/>
          <w:numId w:val="2"/>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Discussion</w:t>
      </w:r>
    </w:p>
    <w:p>
      <w:pPr>
        <w:keepNext/>
        <w:keepLines/>
        <w:widowControl/>
        <w:spacing w:before="180" w:after="180"/>
        <w:ind w:left="1134" w:hanging="1134"/>
        <w:jc w:val="left"/>
        <w:outlineLvl w:val="1"/>
        <w:rPr>
          <w:rFonts w:ascii="Arial" w:hAnsi="Arial" w:eastAsia="宋体" w:cs="Arial"/>
          <w:kern w:val="0"/>
          <w:sz w:val="32"/>
          <w:szCs w:val="20"/>
        </w:rPr>
      </w:pPr>
      <w:r>
        <w:rPr>
          <w:rFonts w:ascii="Arial" w:hAnsi="Arial" w:eastAsia="宋体" w:cs="Arial"/>
          <w:kern w:val="0"/>
          <w:sz w:val="32"/>
          <w:szCs w:val="20"/>
          <w:lang w:val="en-GB"/>
        </w:rPr>
        <w:t>2.1</w:t>
      </w:r>
      <w:r>
        <w:rPr>
          <w:rFonts w:ascii="Arial" w:hAnsi="Arial" w:eastAsia="宋体" w:cs="Arial"/>
          <w:kern w:val="0"/>
          <w:sz w:val="32"/>
          <w:szCs w:val="20"/>
          <w:lang w:val="en-GB"/>
        </w:rPr>
        <w:tab/>
      </w:r>
      <w:r>
        <w:rPr>
          <w:rFonts w:ascii="Arial" w:hAnsi="Arial" w:eastAsia="宋体" w:cs="Arial"/>
          <w:kern w:val="0"/>
          <w:sz w:val="32"/>
          <w:szCs w:val="20"/>
          <w:lang w:val="en-GB"/>
        </w:rPr>
        <w:t xml:space="preserve">Discussion on </w:t>
      </w:r>
      <w:r>
        <w:rPr>
          <w:rFonts w:hint="eastAsia" w:ascii="Arial" w:hAnsi="Arial" w:eastAsia="宋体" w:cs="Arial"/>
          <w:kern w:val="0"/>
          <w:sz w:val="32"/>
          <w:szCs w:val="20"/>
        </w:rPr>
        <w:t>the measurement enhancements</w:t>
      </w:r>
    </w:p>
    <w:p>
      <w:pPr>
        <w:widowControl/>
        <w:spacing w:after="180"/>
        <w:rPr>
          <w:rFonts w:ascii="Arial" w:hAnsi="Arial" w:eastAsia="宋体" w:cs="Arial"/>
          <w:kern w:val="0"/>
          <w:sz w:val="20"/>
          <w:szCs w:val="20"/>
        </w:rPr>
      </w:pPr>
      <w:r>
        <w:rPr>
          <w:rFonts w:hint="eastAsia" w:ascii="Arial" w:hAnsi="Arial" w:eastAsia="宋体" w:cs="Arial"/>
          <w:kern w:val="0"/>
          <w:sz w:val="20"/>
          <w:szCs w:val="20"/>
        </w:rPr>
        <w:t>In Rel-17, there is no RRC connected mobility for NB-IoT over NTN, no enhancement to R16 RLF and RRC connection Re-establishment procedures are introduced in R17 and the legacy TN mechanism is reused. But for cell reselection, RAN2 agreed that for quasi-earth fixed cell, UE should start measurements on neighbour cells before the broadcast stop time of the serving cell, and the exact time to start measurements (inter and intra-frequency) is up to UE implementation. And in Rel-17 NB-IoT enhancements of TN, the network can configure triggering event to the UE to measure the neighbour cells before RLF, the triggering event is based on the combination of serving cell quality threshold and variance of the serving cell quality.</w:t>
      </w:r>
    </w:p>
    <w:p>
      <w:pPr>
        <w:widowControl/>
        <w:spacing w:after="180"/>
        <w:rPr>
          <w:rFonts w:ascii="Arial" w:hAnsi="Arial" w:eastAsia="宋体" w:cs="Arial"/>
          <w:kern w:val="0"/>
          <w:sz w:val="20"/>
          <w:szCs w:val="20"/>
        </w:rPr>
      </w:pPr>
      <w:r>
        <w:rPr>
          <w:rFonts w:hint="eastAsia" w:ascii="Arial" w:hAnsi="Arial" w:eastAsia="宋体" w:cs="Arial"/>
          <w:kern w:val="0"/>
          <w:sz w:val="20"/>
          <w:szCs w:val="20"/>
        </w:rPr>
        <w:t>However, the difference of cell quality between cell center and cell edge may not be as pronounced in non-terrestrial deployments, so the triggering event only based on the RSRP and variance is not applicable for IoT-NTN.</w:t>
      </w:r>
    </w:p>
    <w:p>
      <w:pPr>
        <w:widowControl/>
        <w:spacing w:after="180"/>
        <w:rPr>
          <w:rFonts w:ascii="Arial" w:hAnsi="Arial" w:eastAsia="宋体" w:cs="Arial"/>
          <w:kern w:val="0"/>
          <w:sz w:val="20"/>
          <w:szCs w:val="20"/>
        </w:rPr>
      </w:pPr>
      <w:r>
        <w:rPr>
          <w:rFonts w:hint="eastAsia" w:ascii="Arial" w:hAnsi="Arial" w:eastAsia="宋体" w:cs="Arial"/>
          <w:kern w:val="0"/>
          <w:sz w:val="20"/>
          <w:szCs w:val="20"/>
        </w:rPr>
        <w:t>In Rel-18, the potential enhancements on triggering event for measurement can be considered for IoT-NTN</w:t>
      </w:r>
      <w:r>
        <w:rPr>
          <w:rFonts w:ascii="Arial" w:hAnsi="Arial" w:eastAsia="宋体" w:cs="Arial"/>
          <w:kern w:val="0"/>
          <w:sz w:val="20"/>
          <w:szCs w:val="20"/>
          <w:lang w:val="en-GB"/>
        </w:rPr>
        <w:t xml:space="preserve">. </w:t>
      </w:r>
      <w:r>
        <w:rPr>
          <w:rFonts w:hint="eastAsia" w:ascii="Arial" w:hAnsi="Arial" w:eastAsia="宋体" w:cs="Arial"/>
          <w:kern w:val="0"/>
          <w:sz w:val="20"/>
          <w:szCs w:val="20"/>
        </w:rPr>
        <w:t>The new triggering events can be introduced, such as distance-based triggering event, or before the serving cell is going to stop covering the current area, etc. In addition, the satellite assistance information (e.g. ephemeris data and coverage information) can also be considered to configure the triggering event.</w:t>
      </w:r>
    </w:p>
    <w:p>
      <w:pPr>
        <w:widowControl/>
        <w:spacing w:after="180"/>
        <w:rPr>
          <w:rFonts w:ascii="Arial" w:hAnsi="Arial" w:eastAsia="宋体" w:cs="Arial"/>
          <w:b/>
          <w:bCs/>
          <w:kern w:val="0"/>
          <w:sz w:val="20"/>
          <w:szCs w:val="20"/>
        </w:rPr>
      </w:pPr>
      <w:r>
        <w:rPr>
          <w:rFonts w:hint="eastAsia" w:ascii="Arial" w:hAnsi="Arial" w:eastAsia="宋体" w:cs="Arial"/>
          <w:b/>
          <w:bCs/>
          <w:kern w:val="0"/>
          <w:sz w:val="20"/>
          <w:szCs w:val="20"/>
        </w:rPr>
        <w:t xml:space="preserve">Proposal 1: RAN2 can introduce new triggering event for </w:t>
      </w:r>
      <w:r>
        <w:rPr>
          <w:rFonts w:ascii="Arial" w:hAnsi="Arial" w:eastAsia="宋体" w:cs="Arial"/>
          <w:b/>
          <w:bCs/>
          <w:kern w:val="0"/>
          <w:sz w:val="20"/>
          <w:szCs w:val="20"/>
        </w:rPr>
        <w:t>triggering RRC Re-establishment to avoid UP interruption due to RLF</w:t>
      </w:r>
      <w:r>
        <w:rPr>
          <w:rFonts w:hint="eastAsia" w:ascii="Arial" w:hAnsi="Arial" w:eastAsia="宋体" w:cs="Arial"/>
          <w:b/>
          <w:bCs/>
          <w:kern w:val="0"/>
          <w:sz w:val="20"/>
          <w:szCs w:val="20"/>
        </w:rPr>
        <w:t>, such as distance-based triggering event, or before the serving cell is going to stop covering the current area, etc.</w:t>
      </w:r>
    </w:p>
    <w:p>
      <w:pPr>
        <w:widowControl/>
        <w:spacing w:after="180"/>
        <w:rPr>
          <w:rFonts w:ascii="Arial" w:hAnsi="Arial" w:eastAsia="宋体" w:cs="Arial"/>
          <w:b/>
          <w:bCs/>
          <w:kern w:val="0"/>
          <w:sz w:val="20"/>
          <w:szCs w:val="20"/>
        </w:rPr>
      </w:pPr>
      <w:r>
        <w:rPr>
          <w:rFonts w:hint="eastAsia" w:ascii="Arial" w:hAnsi="Arial" w:eastAsia="宋体" w:cs="Arial"/>
          <w:b/>
          <w:bCs/>
          <w:kern w:val="0"/>
          <w:sz w:val="20"/>
          <w:szCs w:val="20"/>
        </w:rPr>
        <w:t>Proposal 2: The satellite assistance information (e.g. ephemeris data and coverage information) can also be considered to configure the triggering event.</w:t>
      </w:r>
    </w:p>
    <w:p>
      <w:pPr>
        <w:widowControl/>
        <w:spacing w:after="180"/>
        <w:rPr>
          <w:rFonts w:ascii="Arial" w:hAnsi="Arial" w:eastAsia="宋体" w:cs="Arial"/>
          <w:b/>
          <w:bCs/>
          <w:kern w:val="0"/>
          <w:sz w:val="20"/>
          <w:szCs w:val="20"/>
          <w:lang w:val="en-GB"/>
        </w:rPr>
      </w:pPr>
    </w:p>
    <w:p>
      <w:pPr>
        <w:keepNext/>
        <w:keepLines/>
        <w:widowControl/>
        <w:spacing w:before="180" w:after="180"/>
        <w:ind w:left="1134" w:hanging="1134"/>
        <w:jc w:val="left"/>
        <w:outlineLvl w:val="1"/>
        <w:rPr>
          <w:rFonts w:ascii="Arial" w:hAnsi="Arial" w:eastAsia="宋体" w:cs="Arial"/>
          <w:kern w:val="0"/>
          <w:sz w:val="32"/>
          <w:szCs w:val="20"/>
        </w:rPr>
      </w:pPr>
      <w:r>
        <w:rPr>
          <w:rFonts w:ascii="Arial" w:hAnsi="Arial" w:eastAsia="宋体" w:cs="Arial"/>
          <w:kern w:val="0"/>
          <w:sz w:val="32"/>
          <w:szCs w:val="20"/>
          <w:lang w:val="en-GB" w:eastAsia="en-US"/>
        </w:rPr>
        <w:t>2.2</w:t>
      </w:r>
      <w:r>
        <w:rPr>
          <w:rFonts w:ascii="Arial" w:hAnsi="Arial" w:eastAsia="宋体" w:cs="Arial"/>
          <w:kern w:val="0"/>
          <w:sz w:val="32"/>
          <w:szCs w:val="20"/>
          <w:lang w:val="en-GB" w:eastAsia="en-US"/>
        </w:rPr>
        <w:tab/>
      </w:r>
      <w:r>
        <w:rPr>
          <w:rFonts w:hint="eastAsia" w:ascii="Arial" w:hAnsi="Arial" w:eastAsia="宋体" w:cs="Arial"/>
          <w:kern w:val="0"/>
          <w:sz w:val="32"/>
          <w:szCs w:val="20"/>
        </w:rPr>
        <w:t>Discussion on the mobility enhancements for eMTC</w:t>
      </w:r>
    </w:p>
    <w:p>
      <w:pPr>
        <w:spacing w:after="160" w:line="259" w:lineRule="auto"/>
        <w:rPr>
          <w:rFonts w:ascii="Arial" w:hAnsi="Arial" w:eastAsia="宋体" w:cs="Arial"/>
          <w:kern w:val="0"/>
          <w:sz w:val="20"/>
          <w:szCs w:val="20"/>
        </w:rPr>
      </w:pPr>
      <w:r>
        <w:rPr>
          <w:rFonts w:hint="eastAsia" w:ascii="Arial" w:hAnsi="Arial" w:eastAsia="宋体" w:cs="Arial"/>
          <w:kern w:val="0"/>
          <w:sz w:val="20"/>
          <w:szCs w:val="20"/>
        </w:rPr>
        <w:t>In Rel-17 IoT-NTN, the CHO mechanism can be used for both moving cell and fixed cell scenarios, and the CHO procedure and execution condition defined in Rel-16 is introduced without enhancements for eMTC over NTN. And CHO based RSRP is supported.</w:t>
      </w:r>
    </w:p>
    <w:p>
      <w:pPr>
        <w:spacing w:after="160" w:line="259" w:lineRule="auto"/>
        <w:rPr>
          <w:rFonts w:ascii="Arial" w:hAnsi="Arial" w:eastAsia="宋体" w:cs="Arial"/>
          <w:kern w:val="0"/>
          <w:sz w:val="20"/>
          <w:szCs w:val="20"/>
        </w:rPr>
      </w:pPr>
      <w:r>
        <w:rPr>
          <w:rFonts w:hint="eastAsia" w:ascii="Arial" w:hAnsi="Arial" w:eastAsia="宋体" w:cs="Arial"/>
          <w:kern w:val="0"/>
          <w:sz w:val="20"/>
          <w:szCs w:val="20"/>
        </w:rPr>
        <w:t>In Rel-17 NR NTN, time/timer based solution and location based solution are introduced for HO/CHO, and details are as following:</w:t>
      </w:r>
    </w:p>
    <w:p>
      <w:pPr>
        <w:spacing w:after="160" w:line="259" w:lineRule="auto"/>
        <w:rPr>
          <w:rFonts w:ascii="Arial" w:hAnsi="Arial" w:eastAsia="宋体" w:cs="Arial"/>
          <w:b/>
          <w:bCs/>
          <w:kern w:val="0"/>
          <w:sz w:val="20"/>
          <w:szCs w:val="20"/>
        </w:rPr>
      </w:pPr>
      <w:r>
        <w:rPr>
          <w:rFonts w:hint="eastAsia" w:ascii="Arial" w:hAnsi="Arial" w:eastAsia="宋体" w:cs="Arial"/>
          <w:b/>
          <w:bCs/>
          <w:kern w:val="0"/>
          <w:sz w:val="20"/>
          <w:szCs w:val="20"/>
        </w:rPr>
        <w:t>For time/timer based solution:</w:t>
      </w:r>
    </w:p>
    <w:p>
      <w:pPr>
        <w:spacing w:after="160" w:line="259" w:lineRule="auto"/>
        <w:rPr>
          <w:rFonts w:ascii="Arial" w:hAnsi="Arial" w:eastAsia="宋体" w:cs="Arial"/>
          <w:kern w:val="0"/>
          <w:sz w:val="20"/>
          <w:szCs w:val="20"/>
        </w:rPr>
      </w:pPr>
      <w:r>
        <w:rPr>
          <w:rFonts w:hint="eastAsia" w:ascii="Arial" w:hAnsi="Arial" w:eastAsia="宋体" w:cs="Arial"/>
          <w:kern w:val="0"/>
          <w:sz w:val="20"/>
          <w:szCs w:val="20"/>
        </w:rPr>
        <w:t>The joint configuration of time/timer and RSRP are supported in R17 NR NTN.</w:t>
      </w:r>
    </w:p>
    <w:p>
      <w:pPr>
        <w:spacing w:after="160" w:line="259" w:lineRule="auto"/>
        <w:rPr>
          <w:rFonts w:ascii="Arial" w:hAnsi="Arial" w:eastAsia="宋体" w:cs="Arial"/>
          <w:kern w:val="0"/>
          <w:sz w:val="20"/>
          <w:szCs w:val="20"/>
        </w:rPr>
      </w:pPr>
      <w:r>
        <w:rPr>
          <w:rFonts w:hint="eastAsia" w:ascii="Arial" w:hAnsi="Arial" w:eastAsia="宋体" w:cs="Arial"/>
          <w:kern w:val="0"/>
          <w:sz w:val="20"/>
          <w:szCs w:val="20"/>
        </w:rPr>
        <w:t>Timing information in CHO execution triggering for NTN describes the time after which the UE is allowed to execute CHO to the candidate target cell.</w:t>
      </w:r>
    </w:p>
    <w:p>
      <w:pPr>
        <w:spacing w:after="160" w:line="259" w:lineRule="auto"/>
        <w:rPr>
          <w:rFonts w:ascii="Arial" w:hAnsi="Arial" w:eastAsia="宋体" w:cs="Arial"/>
          <w:kern w:val="0"/>
          <w:sz w:val="20"/>
          <w:szCs w:val="20"/>
        </w:rPr>
      </w:pPr>
      <w:r>
        <w:rPr>
          <w:rFonts w:hint="eastAsia" w:ascii="Arial" w:hAnsi="Arial" w:eastAsia="宋体" w:cs="Arial"/>
          <w:kern w:val="0"/>
          <w:sz w:val="20"/>
          <w:szCs w:val="20"/>
        </w:rPr>
        <w:t xml:space="preserve">CHO time trigger event is defined as time duration [T1, T2] associated for each CHO candidate cell, and UTC time + duration/timer (e.g. 00:00:01 + 40s) is indicated as T1 and T2. The UE shall execute CHO to that candidate cell during the time duration [T1, T2], if all other configured CHO execution conditions will apply and there is only one triggered candidate cell. </w:t>
      </w:r>
    </w:p>
    <w:p>
      <w:pPr>
        <w:spacing w:after="160" w:line="259" w:lineRule="auto"/>
        <w:rPr>
          <w:rFonts w:ascii="Arial" w:hAnsi="Arial" w:eastAsia="宋体" w:cs="Arial"/>
          <w:kern w:val="0"/>
          <w:sz w:val="20"/>
          <w:szCs w:val="20"/>
        </w:rPr>
      </w:pPr>
      <w:r>
        <w:rPr>
          <w:rFonts w:hint="eastAsia" w:ascii="Arial" w:hAnsi="Arial" w:eastAsia="宋体" w:cs="Arial"/>
          <w:kern w:val="0"/>
          <w:sz w:val="20"/>
          <w:szCs w:val="20"/>
        </w:rPr>
        <w:t xml:space="preserve">And T2 timer is defined as an INTEGER (1..6000), where each step represents 100 ms. Its maximum value corresponds to 10 minutes (600 seconds). An example for </w:t>
      </w:r>
      <w:r>
        <w:rPr>
          <w:rFonts w:ascii="Arial" w:hAnsi="Arial" w:cs="Arial"/>
          <w:sz w:val="20"/>
          <w:szCs w:val="20"/>
        </w:rPr>
        <w:t>time/timer based solution</w:t>
      </w:r>
      <w:r>
        <w:rPr>
          <w:rFonts w:hint="eastAsia" w:ascii="Arial" w:hAnsi="Arial" w:cs="Arial"/>
          <w:sz w:val="20"/>
          <w:szCs w:val="20"/>
        </w:rPr>
        <w:t xml:space="preserve"> </w:t>
      </w:r>
      <w:r>
        <w:rPr>
          <w:rFonts w:hint="eastAsia" w:ascii="Arial" w:hAnsi="Arial" w:eastAsia="宋体" w:cs="Arial"/>
          <w:kern w:val="0"/>
          <w:sz w:val="20"/>
          <w:szCs w:val="20"/>
        </w:rPr>
        <w:t xml:space="preserve">is shown in Figure 2.2-1. </w:t>
      </w:r>
    </w:p>
    <w:p>
      <w:pPr>
        <w:spacing w:after="160" w:line="259" w:lineRule="auto"/>
        <w:jc w:val="center"/>
      </w:pPr>
      <w:r>
        <w:drawing>
          <wp:inline distT="0" distB="0" distL="114300" distR="114300">
            <wp:extent cx="2021205" cy="1854835"/>
            <wp:effectExtent l="0" t="0" r="10795" b="1206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stretch>
                      <a:fillRect/>
                    </a:stretch>
                  </pic:blipFill>
                  <pic:spPr>
                    <a:xfrm>
                      <a:off x="0" y="0"/>
                      <a:ext cx="2021205" cy="1854835"/>
                    </a:xfrm>
                    <a:prstGeom prst="rect">
                      <a:avLst/>
                    </a:prstGeom>
                    <a:noFill/>
                    <a:ln>
                      <a:noFill/>
                    </a:ln>
                  </pic:spPr>
                </pic:pic>
              </a:graphicData>
            </a:graphic>
          </wp:inline>
        </w:drawing>
      </w:r>
    </w:p>
    <w:p>
      <w:pPr>
        <w:spacing w:after="160" w:line="259" w:lineRule="auto"/>
        <w:jc w:val="center"/>
        <w:rPr>
          <w:rFonts w:ascii="Arial" w:hAnsi="Arial" w:cs="Arial"/>
          <w:sz w:val="20"/>
          <w:szCs w:val="20"/>
        </w:rPr>
      </w:pPr>
      <w:r>
        <w:rPr>
          <w:rFonts w:ascii="Arial" w:hAnsi="Arial" w:cs="Arial"/>
          <w:sz w:val="20"/>
          <w:szCs w:val="20"/>
        </w:rPr>
        <w:t>Figure 2.2-1: An example for time/timer based solution</w:t>
      </w:r>
    </w:p>
    <w:p>
      <w:pPr>
        <w:spacing w:after="160" w:line="259" w:lineRule="auto"/>
        <w:rPr>
          <w:rFonts w:ascii="Arial" w:hAnsi="Arial" w:eastAsia="宋体" w:cs="Arial"/>
          <w:b/>
          <w:bCs/>
          <w:kern w:val="0"/>
          <w:sz w:val="20"/>
          <w:szCs w:val="20"/>
        </w:rPr>
      </w:pPr>
      <w:r>
        <w:rPr>
          <w:rFonts w:hint="eastAsia" w:ascii="Arial" w:hAnsi="Arial" w:eastAsia="宋体" w:cs="Arial"/>
          <w:b/>
          <w:bCs/>
          <w:kern w:val="0"/>
          <w:sz w:val="20"/>
          <w:szCs w:val="20"/>
        </w:rPr>
        <w:t>For location based solution:</w:t>
      </w:r>
    </w:p>
    <w:p>
      <w:pPr>
        <w:spacing w:after="160" w:line="259" w:lineRule="auto"/>
        <w:rPr>
          <w:rFonts w:ascii="Arial" w:hAnsi="Arial" w:eastAsia="宋体" w:cs="Arial"/>
          <w:kern w:val="0"/>
          <w:sz w:val="20"/>
          <w:szCs w:val="20"/>
        </w:rPr>
      </w:pPr>
      <w:r>
        <w:rPr>
          <w:rFonts w:hint="eastAsia" w:ascii="Arial" w:hAnsi="Arial" w:eastAsia="宋体" w:cs="Arial"/>
          <w:kern w:val="0"/>
          <w:sz w:val="20"/>
          <w:szCs w:val="20"/>
        </w:rPr>
        <w:t>The joint configuration of location and RSRP are supported in R17 NR NTN.</w:t>
      </w:r>
    </w:p>
    <w:p>
      <w:pPr>
        <w:spacing w:after="160" w:line="259" w:lineRule="auto"/>
        <w:rPr>
          <w:rFonts w:ascii="Arial" w:hAnsi="Arial" w:eastAsia="宋体" w:cs="Arial"/>
          <w:kern w:val="0"/>
          <w:sz w:val="20"/>
          <w:szCs w:val="20"/>
        </w:rPr>
      </w:pPr>
      <w:r>
        <w:rPr>
          <w:rFonts w:hint="eastAsia" w:ascii="Arial" w:hAnsi="Arial" w:eastAsia="宋体" w:cs="Arial"/>
          <w:kern w:val="0"/>
          <w:sz w:val="20"/>
          <w:szCs w:val="20"/>
        </w:rPr>
        <w:t>RAN2 s</w:t>
      </w:r>
      <w:r>
        <w:rPr>
          <w:rFonts w:ascii="Arial" w:hAnsi="Arial" w:eastAsia="宋体" w:cs="Arial"/>
          <w:kern w:val="0"/>
          <w:sz w:val="20"/>
          <w:szCs w:val="20"/>
        </w:rPr>
        <w:t>upport CHO location trigger as the distance between UE and a reference location which may be configured as the serving cell reference location or the candidate target cell reference location.</w:t>
      </w:r>
      <w:r>
        <w:rPr>
          <w:rFonts w:hint="eastAsia" w:ascii="Arial" w:hAnsi="Arial" w:eastAsia="宋体" w:cs="Arial"/>
          <w:kern w:val="0"/>
          <w:sz w:val="20"/>
          <w:szCs w:val="20"/>
        </w:rPr>
        <w:t xml:space="preserve"> And the reference location for the event description is defined as cell center. </w:t>
      </w:r>
    </w:p>
    <w:p>
      <w:pPr>
        <w:spacing w:after="160" w:line="259" w:lineRule="auto"/>
        <w:rPr>
          <w:rFonts w:ascii="Arial" w:hAnsi="Arial" w:eastAsia="宋体" w:cs="Arial"/>
          <w:kern w:val="0"/>
          <w:sz w:val="20"/>
          <w:szCs w:val="20"/>
        </w:rPr>
      </w:pPr>
      <w:r>
        <w:rPr>
          <w:rFonts w:hint="eastAsia" w:ascii="Arial" w:hAnsi="Arial" w:eastAsia="宋体" w:cs="Arial"/>
          <w:kern w:val="0"/>
          <w:sz w:val="20"/>
          <w:szCs w:val="20"/>
        </w:rPr>
        <w:t>The new conditional triggering event (i.e. condEvent L4) has been introduced to support location based solution. Specifically, distance between UE and the PCell</w:t>
      </w:r>
      <w:r>
        <w:rPr>
          <w:rFonts w:ascii="Arial" w:hAnsi="Arial" w:eastAsia="宋体" w:cs="Arial"/>
          <w:kern w:val="0"/>
          <w:sz w:val="20"/>
          <w:szCs w:val="20"/>
        </w:rPr>
        <w:t>’</w:t>
      </w:r>
      <w:r>
        <w:rPr>
          <w:rFonts w:hint="eastAsia" w:ascii="Arial" w:hAnsi="Arial" w:eastAsia="宋体" w:cs="Arial"/>
          <w:kern w:val="0"/>
          <w:sz w:val="20"/>
          <w:szCs w:val="20"/>
        </w:rPr>
        <w:t xml:space="preserve">s reference location becomes larger than absolute threshold1 AND the distance between UE and the Conditional reconfiguration candidate becomes shorter than absolute threshold2. An example </w:t>
      </w:r>
      <w:r>
        <w:rPr>
          <w:rFonts w:ascii="Arial" w:hAnsi="Arial" w:cs="Arial"/>
          <w:sz w:val="20"/>
          <w:szCs w:val="20"/>
        </w:rPr>
        <w:t xml:space="preserve">for </w:t>
      </w:r>
      <w:r>
        <w:rPr>
          <w:rFonts w:hint="eastAsia" w:ascii="Arial" w:hAnsi="Arial" w:cs="Arial"/>
          <w:sz w:val="20"/>
          <w:szCs w:val="20"/>
        </w:rPr>
        <w:t>location</w:t>
      </w:r>
      <w:r>
        <w:rPr>
          <w:rFonts w:ascii="Arial" w:hAnsi="Arial" w:cs="Arial"/>
          <w:sz w:val="20"/>
          <w:szCs w:val="20"/>
        </w:rPr>
        <w:t xml:space="preserve"> based solution</w:t>
      </w:r>
      <w:r>
        <w:rPr>
          <w:rFonts w:hint="eastAsia" w:ascii="Arial" w:hAnsi="Arial" w:cs="Arial"/>
          <w:sz w:val="20"/>
          <w:szCs w:val="20"/>
        </w:rPr>
        <w:t xml:space="preserve"> </w:t>
      </w:r>
      <w:r>
        <w:rPr>
          <w:rFonts w:hint="eastAsia" w:ascii="Arial" w:hAnsi="Arial" w:eastAsia="宋体" w:cs="Arial"/>
          <w:kern w:val="0"/>
          <w:sz w:val="20"/>
          <w:szCs w:val="20"/>
        </w:rPr>
        <w:t xml:space="preserve">is shown in Figure 2.2-2, the UE will perform CHO when the d1&gt;threshold1 and d2&lt;threshold2. </w:t>
      </w:r>
    </w:p>
    <w:p>
      <w:pPr>
        <w:widowControl/>
        <w:spacing w:after="180"/>
        <w:jc w:val="center"/>
      </w:pPr>
      <w:r>
        <w:drawing>
          <wp:inline distT="0" distB="0" distL="114300" distR="114300">
            <wp:extent cx="2277745" cy="1716405"/>
            <wp:effectExtent l="0" t="0" r="8255" b="1079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tretch>
                      <a:fillRect/>
                    </a:stretch>
                  </pic:blipFill>
                  <pic:spPr>
                    <a:xfrm>
                      <a:off x="0" y="0"/>
                      <a:ext cx="2277745" cy="1716405"/>
                    </a:xfrm>
                    <a:prstGeom prst="rect">
                      <a:avLst/>
                    </a:prstGeom>
                    <a:noFill/>
                    <a:ln>
                      <a:noFill/>
                    </a:ln>
                  </pic:spPr>
                </pic:pic>
              </a:graphicData>
            </a:graphic>
          </wp:inline>
        </w:drawing>
      </w:r>
    </w:p>
    <w:p>
      <w:pPr>
        <w:widowControl/>
        <w:spacing w:after="180"/>
        <w:jc w:val="center"/>
      </w:pPr>
      <w:r>
        <w:rPr>
          <w:rFonts w:ascii="Arial" w:hAnsi="Arial" w:cs="Arial"/>
          <w:sz w:val="20"/>
          <w:szCs w:val="20"/>
        </w:rPr>
        <w:t>Figure 2.2-</w:t>
      </w:r>
      <w:r>
        <w:rPr>
          <w:rFonts w:hint="eastAsia" w:ascii="Arial" w:hAnsi="Arial" w:cs="Arial"/>
          <w:sz w:val="20"/>
          <w:szCs w:val="20"/>
        </w:rPr>
        <w:t>2</w:t>
      </w:r>
      <w:r>
        <w:rPr>
          <w:rFonts w:ascii="Arial" w:hAnsi="Arial" w:cs="Arial"/>
          <w:sz w:val="20"/>
          <w:szCs w:val="20"/>
        </w:rPr>
        <w:t xml:space="preserve">: An example for </w:t>
      </w:r>
      <w:r>
        <w:rPr>
          <w:rFonts w:hint="eastAsia" w:ascii="Arial" w:hAnsi="Arial" w:cs="Arial"/>
          <w:sz w:val="20"/>
          <w:szCs w:val="20"/>
        </w:rPr>
        <w:t>location</w:t>
      </w:r>
      <w:r>
        <w:rPr>
          <w:rFonts w:ascii="Arial" w:hAnsi="Arial" w:cs="Arial"/>
          <w:sz w:val="20"/>
          <w:szCs w:val="20"/>
        </w:rPr>
        <w:t xml:space="preserve"> based solution</w:t>
      </w:r>
    </w:p>
    <w:p>
      <w:pPr>
        <w:widowControl/>
        <w:spacing w:after="180"/>
        <w:rPr>
          <w:rFonts w:ascii="Arial" w:hAnsi="Arial" w:cs="Arial"/>
        </w:rPr>
      </w:pPr>
      <w:r>
        <w:rPr>
          <w:rFonts w:hint="eastAsia" w:ascii="Arial" w:hAnsi="Arial" w:cs="Arial"/>
        </w:rPr>
        <w:t>In addition, joint time-based and location-based CHO execution triggering for the same candidate cell is not supported in Rel-17 NR NTN.</w:t>
      </w:r>
    </w:p>
    <w:p>
      <w:pPr>
        <w:widowControl/>
        <w:spacing w:after="180"/>
        <w:rPr>
          <w:rFonts w:ascii="Arial" w:hAnsi="Arial" w:cs="Arial"/>
        </w:rPr>
      </w:pPr>
      <w:r>
        <w:rPr>
          <w:rFonts w:hint="eastAsia" w:ascii="Arial" w:hAnsi="Arial" w:cs="Arial"/>
        </w:rPr>
        <w:t>For R18 IoT-NTN, we think the CHO mechanism introduced in R17 NR NTN can be reused and the minimized enhancements can be considered if needed. For example, the maximum value of T2 timer within time/timer based solution is 10 minutes, this value may be extended considering the feature of IoT-NTN (e.g. discontinuous coverage).</w:t>
      </w:r>
    </w:p>
    <w:p>
      <w:pPr>
        <w:widowControl/>
        <w:spacing w:after="180"/>
      </w:pPr>
      <w:r>
        <w:rPr>
          <w:rFonts w:ascii="Arial" w:hAnsi="Arial" w:cs="Arial"/>
          <w:b/>
          <w:bCs/>
        </w:rPr>
        <w:t>Proposal 3:</w:t>
      </w:r>
      <w:r>
        <w:rPr>
          <w:rFonts w:hint="eastAsia" w:ascii="Arial" w:hAnsi="Arial" w:cs="Arial"/>
          <w:b/>
          <w:bCs/>
        </w:rPr>
        <w:t xml:space="preserve"> RAN2 to introduce the R17 NR NTN CHO mechanism for eMTC (time/timer based solution and location based solution) with minimum enhancements.</w:t>
      </w:r>
    </w:p>
    <w:p>
      <w:pPr>
        <w:spacing w:after="160" w:line="259" w:lineRule="auto"/>
        <w:rPr>
          <w:lang w:val="en-GB"/>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proposals for </w:t>
      </w:r>
      <w:r>
        <w:rPr>
          <w:rFonts w:hint="eastAsia" w:ascii="Arial" w:hAnsi="Arial" w:eastAsia="宋体" w:cs="Arial"/>
          <w:kern w:val="0"/>
          <w:sz w:val="20"/>
          <w:szCs w:val="20"/>
        </w:rPr>
        <w:t>mobility</w:t>
      </w:r>
      <w:r>
        <w:rPr>
          <w:rFonts w:ascii="Arial" w:hAnsi="Arial" w:eastAsia="宋体" w:cs="Arial"/>
          <w:kern w:val="0"/>
          <w:sz w:val="20"/>
          <w:szCs w:val="20"/>
          <w:lang w:val="en-GB" w:eastAsia="en-US"/>
        </w:rPr>
        <w:t xml:space="preserve"> enhancement</w:t>
      </w:r>
      <w:r>
        <w:rPr>
          <w:rFonts w:hint="eastAsia" w:ascii="Arial" w:hAnsi="Arial" w:eastAsia="宋体" w:cs="Arial"/>
          <w:kern w:val="0"/>
          <w:sz w:val="20"/>
          <w:szCs w:val="20"/>
        </w:rPr>
        <w:t>s for IoT-NTN</w:t>
      </w:r>
      <w:r>
        <w:rPr>
          <w:rFonts w:ascii="Arial" w:hAnsi="Arial" w:eastAsia="宋体" w:cs="Arial"/>
          <w:kern w:val="0"/>
          <w:sz w:val="20"/>
          <w:szCs w:val="20"/>
          <w:lang w:val="en-GB" w:eastAsia="en-US"/>
        </w:rPr>
        <w:t>.</w:t>
      </w:r>
    </w:p>
    <w:p>
      <w:pPr>
        <w:widowControl/>
        <w:spacing w:after="180"/>
        <w:rPr>
          <w:rFonts w:ascii="Arial" w:hAnsi="Arial" w:eastAsia="宋体" w:cs="Arial"/>
          <w:b/>
          <w:bCs/>
          <w:kern w:val="0"/>
          <w:sz w:val="20"/>
          <w:szCs w:val="20"/>
        </w:rPr>
      </w:pPr>
      <w:r>
        <w:rPr>
          <w:rFonts w:hint="eastAsia" w:ascii="Arial" w:hAnsi="Arial" w:eastAsia="宋体" w:cs="Arial"/>
          <w:b/>
          <w:bCs/>
          <w:kern w:val="0"/>
          <w:sz w:val="20"/>
          <w:szCs w:val="20"/>
        </w:rPr>
        <w:t xml:space="preserve">Proposal 1: RAN2 can introduce new triggering event for </w:t>
      </w:r>
      <w:r>
        <w:rPr>
          <w:rFonts w:ascii="Arial" w:hAnsi="Arial" w:eastAsia="宋体" w:cs="Arial"/>
          <w:b/>
          <w:bCs/>
          <w:kern w:val="0"/>
          <w:sz w:val="20"/>
          <w:szCs w:val="20"/>
        </w:rPr>
        <w:t>triggering RRC Re-establishment to avoid UP interruption due to RLF</w:t>
      </w:r>
      <w:r>
        <w:rPr>
          <w:rFonts w:hint="eastAsia" w:ascii="Arial" w:hAnsi="Arial" w:eastAsia="宋体" w:cs="Arial"/>
          <w:b/>
          <w:bCs/>
          <w:kern w:val="0"/>
          <w:sz w:val="20"/>
          <w:szCs w:val="20"/>
        </w:rPr>
        <w:t>, such as distance-based triggering event, or before the serving cell is going to stop covering the current area, etc.</w:t>
      </w:r>
    </w:p>
    <w:p>
      <w:pPr>
        <w:widowControl/>
        <w:spacing w:after="180"/>
        <w:rPr>
          <w:rFonts w:ascii="Arial" w:hAnsi="Arial" w:eastAsia="宋体" w:cs="Arial"/>
          <w:b/>
          <w:bCs/>
          <w:kern w:val="0"/>
          <w:sz w:val="20"/>
          <w:szCs w:val="20"/>
        </w:rPr>
      </w:pPr>
      <w:r>
        <w:rPr>
          <w:rFonts w:hint="eastAsia" w:ascii="Arial" w:hAnsi="Arial" w:eastAsia="宋体" w:cs="Arial"/>
          <w:b/>
          <w:bCs/>
          <w:kern w:val="0"/>
          <w:sz w:val="20"/>
          <w:szCs w:val="20"/>
        </w:rPr>
        <w:t>Proposal 2: The satellite assistance information (e.g. ephemeris data and coverage information) can also be considered to configure the triggering event.</w:t>
      </w:r>
    </w:p>
    <w:p>
      <w:pPr>
        <w:spacing w:after="160" w:line="259" w:lineRule="auto"/>
        <w:rPr>
          <w:rFonts w:ascii="Arial" w:hAnsi="Arial" w:eastAsia="宋体" w:cs="Arial"/>
          <w:b/>
          <w:bCs/>
          <w:kern w:val="0"/>
          <w:sz w:val="20"/>
          <w:szCs w:val="20"/>
          <w:lang w:val="en-GB"/>
        </w:rPr>
      </w:pPr>
      <w:r>
        <w:rPr>
          <w:rFonts w:ascii="Arial" w:hAnsi="Arial" w:cs="Arial"/>
          <w:b/>
          <w:bCs/>
        </w:rPr>
        <w:t>Proposal 3:</w:t>
      </w:r>
      <w:r>
        <w:rPr>
          <w:rFonts w:hint="eastAsia" w:ascii="Arial" w:hAnsi="Arial" w:cs="Arial"/>
          <w:b/>
          <w:bCs/>
        </w:rPr>
        <w:t xml:space="preserve"> RAN2 to introduce the R17 NR NTN CHO mechanism for eMTC (time/timer based solution and location based solution) with minimum enhancements</w:t>
      </w:r>
      <w:r>
        <w:rPr>
          <w:rFonts w:ascii="Arial" w:hAnsi="Arial" w:eastAsia="宋体" w:cs="Arial"/>
          <w:b/>
          <w:bCs/>
          <w:kern w:val="0"/>
          <w:sz w:val="20"/>
          <w:szCs w:val="20"/>
          <w:lang w:val="en-GB"/>
        </w:rPr>
        <w:t>.</w:t>
      </w:r>
    </w:p>
    <w:p>
      <w:pPr>
        <w:widowControl/>
        <w:spacing w:after="180"/>
        <w:rPr>
          <w:rFonts w:ascii="Arial" w:hAnsi="Arial" w:eastAsia="宋体" w:cs="Arial"/>
          <w:kern w:val="0"/>
          <w:sz w:val="20"/>
          <w:szCs w:val="20"/>
          <w:lang w:val="en-GB" w:eastAsia="en-US"/>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3"/>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ascii="Arial" w:hAnsi="Arial" w:eastAsia="宋体" w:cs="Arial"/>
          <w:kern w:val="0"/>
          <w:sz w:val="20"/>
          <w:szCs w:val="20"/>
          <w:lang w:val="en-GB" w:eastAsia="en-US"/>
        </w:rPr>
        <w:t>RP-221</w:t>
      </w:r>
      <w:r>
        <w:rPr>
          <w:rFonts w:hint="eastAsia" w:ascii="Arial" w:hAnsi="Arial" w:eastAsia="宋体" w:cs="Arial"/>
          <w:kern w:val="0"/>
          <w:sz w:val="20"/>
          <w:szCs w:val="20"/>
        </w:rPr>
        <w:t>806</w:t>
      </w:r>
      <w:r>
        <w:rPr>
          <w:rFonts w:ascii="Arial" w:hAnsi="Arial" w:eastAsia="宋体" w:cs="Arial"/>
          <w:kern w:val="0"/>
          <w:sz w:val="20"/>
          <w:szCs w:val="20"/>
          <w:lang w:val="en-GB" w:eastAsia="en-US"/>
        </w:rPr>
        <w:t xml:space="preserve">, Revised </w:t>
      </w:r>
      <w:r>
        <w:rPr>
          <w:rFonts w:hint="eastAsia" w:ascii="Arial" w:hAnsi="Arial" w:eastAsia="宋体" w:cs="Arial"/>
          <w:kern w:val="0"/>
          <w:sz w:val="20"/>
          <w:szCs w:val="20"/>
          <w:lang w:val="en-GB" w:eastAsia="en-US"/>
        </w:rPr>
        <w:t>WID on IoT NTN enhancements</w:t>
      </w:r>
    </w:p>
    <w:p>
      <w:pPr>
        <w:rPr>
          <w:lang w:val="en-GB"/>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CAA566"/>
    <w:multiLevelType w:val="singleLevel"/>
    <w:tmpl w:val="2DCAA566"/>
    <w:lvl w:ilvl="0" w:tentative="0">
      <w:start w:val="2"/>
      <w:numFmt w:val="decimal"/>
      <w:lvlText w:val="%1"/>
      <w:lvlJc w:val="left"/>
    </w:lvl>
  </w:abstractNum>
  <w:abstractNum w:abstractNumId="1">
    <w:nsid w:val="2FFD40CD"/>
    <w:multiLevelType w:val="multilevel"/>
    <w:tmpl w:val="2FFD40CD"/>
    <w:lvl w:ilvl="0" w:tentative="0">
      <w:start w:val="20"/>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65869"/>
    <w:rsid w:val="00196A53"/>
    <w:rsid w:val="001E2496"/>
    <w:rsid w:val="001F7978"/>
    <w:rsid w:val="002215C2"/>
    <w:rsid w:val="00225D63"/>
    <w:rsid w:val="00234354"/>
    <w:rsid w:val="002650A3"/>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A4FB5"/>
    <w:rsid w:val="006B0BFB"/>
    <w:rsid w:val="006D1DA8"/>
    <w:rsid w:val="0074611C"/>
    <w:rsid w:val="007A2ADF"/>
    <w:rsid w:val="007B28E6"/>
    <w:rsid w:val="007E3904"/>
    <w:rsid w:val="00843904"/>
    <w:rsid w:val="00894A29"/>
    <w:rsid w:val="008A5A0B"/>
    <w:rsid w:val="008D110D"/>
    <w:rsid w:val="008E4F97"/>
    <w:rsid w:val="00940BA3"/>
    <w:rsid w:val="00950D36"/>
    <w:rsid w:val="00956A27"/>
    <w:rsid w:val="00982B04"/>
    <w:rsid w:val="009924F0"/>
    <w:rsid w:val="009A6D82"/>
    <w:rsid w:val="009D3F27"/>
    <w:rsid w:val="009E36A7"/>
    <w:rsid w:val="009E6BC9"/>
    <w:rsid w:val="00A350C4"/>
    <w:rsid w:val="00AC3458"/>
    <w:rsid w:val="00AD67D5"/>
    <w:rsid w:val="00AD727F"/>
    <w:rsid w:val="00B24F10"/>
    <w:rsid w:val="00B73C33"/>
    <w:rsid w:val="00B846FB"/>
    <w:rsid w:val="00B84BEF"/>
    <w:rsid w:val="00BB6E56"/>
    <w:rsid w:val="00C03FFA"/>
    <w:rsid w:val="00C12245"/>
    <w:rsid w:val="00C53226"/>
    <w:rsid w:val="00C95F8C"/>
    <w:rsid w:val="00CD18ED"/>
    <w:rsid w:val="00CF2DAA"/>
    <w:rsid w:val="00D66BFB"/>
    <w:rsid w:val="00D9059D"/>
    <w:rsid w:val="00DA12B1"/>
    <w:rsid w:val="00DA6656"/>
    <w:rsid w:val="00DE5620"/>
    <w:rsid w:val="00E513DD"/>
    <w:rsid w:val="00E82408"/>
    <w:rsid w:val="00ED765C"/>
    <w:rsid w:val="00EF5EE1"/>
    <w:rsid w:val="00F02DFE"/>
    <w:rsid w:val="00F05AB0"/>
    <w:rsid w:val="00F0642D"/>
    <w:rsid w:val="00F0760F"/>
    <w:rsid w:val="00F33D13"/>
    <w:rsid w:val="00F47D8B"/>
    <w:rsid w:val="00F627D0"/>
    <w:rsid w:val="00F841B6"/>
    <w:rsid w:val="00F92EA1"/>
    <w:rsid w:val="00FA19BF"/>
    <w:rsid w:val="00FE5D56"/>
    <w:rsid w:val="01041DE1"/>
    <w:rsid w:val="038A1F16"/>
    <w:rsid w:val="04A37BF0"/>
    <w:rsid w:val="0A1469F1"/>
    <w:rsid w:val="0A173D8A"/>
    <w:rsid w:val="0CC05689"/>
    <w:rsid w:val="0CD5224C"/>
    <w:rsid w:val="110171B2"/>
    <w:rsid w:val="13392934"/>
    <w:rsid w:val="14E836E8"/>
    <w:rsid w:val="15BE553B"/>
    <w:rsid w:val="16A3322F"/>
    <w:rsid w:val="17CD5A7B"/>
    <w:rsid w:val="187A66B9"/>
    <w:rsid w:val="20F63843"/>
    <w:rsid w:val="36F84B57"/>
    <w:rsid w:val="38FC32F5"/>
    <w:rsid w:val="39030A9D"/>
    <w:rsid w:val="3ECD0998"/>
    <w:rsid w:val="3ED508CA"/>
    <w:rsid w:val="3FA42170"/>
    <w:rsid w:val="3FAF36DB"/>
    <w:rsid w:val="406A14B3"/>
    <w:rsid w:val="41103459"/>
    <w:rsid w:val="43146FF6"/>
    <w:rsid w:val="4599227F"/>
    <w:rsid w:val="46FE4C6E"/>
    <w:rsid w:val="47C04462"/>
    <w:rsid w:val="528B1069"/>
    <w:rsid w:val="53D170F4"/>
    <w:rsid w:val="56581D59"/>
    <w:rsid w:val="5A2F5AF5"/>
    <w:rsid w:val="5AFF7905"/>
    <w:rsid w:val="5B492C91"/>
    <w:rsid w:val="5F600D4E"/>
    <w:rsid w:val="660E4242"/>
    <w:rsid w:val="677038E2"/>
    <w:rsid w:val="69293200"/>
    <w:rsid w:val="694347AF"/>
    <w:rsid w:val="694F06EB"/>
    <w:rsid w:val="6BE35659"/>
    <w:rsid w:val="732872C5"/>
    <w:rsid w:val="79C61A14"/>
    <w:rsid w:val="7E886BD8"/>
    <w:rsid w:val="7F7A668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0"/>
    <w:unhideWhenUsed/>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List"/>
    <w:basedOn w:val="1"/>
    <w:qFormat/>
    <w:uiPriority w:val="0"/>
    <w:pPr>
      <w:ind w:left="568" w:hanging="284"/>
    </w:pPr>
  </w:style>
  <w:style w:type="table" w:styleId="6">
    <w:name w:val="Table Grid"/>
    <w:basedOn w:val="5"/>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qFormat/>
    <w:uiPriority w:val="99"/>
    <w:rPr>
      <w:color w:val="0000FF"/>
      <w:u w:val="single"/>
    </w:rPr>
  </w:style>
  <w:style w:type="character" w:customStyle="1" w:styleId="9">
    <w:name w:val="页眉 字符"/>
    <w:basedOn w:val="7"/>
    <w:link w:val="3"/>
    <w:uiPriority w:val="99"/>
    <w:rPr>
      <w:sz w:val="18"/>
      <w:szCs w:val="18"/>
    </w:rPr>
  </w:style>
  <w:style w:type="character" w:customStyle="1" w:styleId="10">
    <w:name w:val="页脚 字符"/>
    <w:basedOn w:val="7"/>
    <w:link w:val="2"/>
    <w:uiPriority w:val="99"/>
    <w:rPr>
      <w:sz w:val="18"/>
      <w:szCs w:val="18"/>
    </w:rPr>
  </w:style>
  <w:style w:type="paragraph" w:customStyle="1" w:styleId="11">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2">
    <w:name w:val="TF"/>
    <w:basedOn w:val="11"/>
    <w:qFormat/>
    <w:uiPriority w:val="0"/>
    <w:pPr>
      <w:keepNext w:val="0"/>
      <w:spacing w:before="0" w:after="240"/>
    </w:pPr>
  </w:style>
  <w:style w:type="paragraph" w:styleId="13">
    <w:name w:val="List Paragraph"/>
    <w:basedOn w:val="1"/>
    <w:qFormat/>
    <w:uiPriority w:val="34"/>
    <w:pPr>
      <w:ind w:firstLine="420" w:firstLineChars="200"/>
    </w:pPr>
  </w:style>
  <w:style w:type="paragraph" w:customStyle="1" w:styleId="14">
    <w:name w:val="B1"/>
    <w:basedOn w:val="4"/>
    <w:qFormat/>
    <w:uiPriority w:val="0"/>
  </w:style>
  <w:style w:type="paragraph" w:customStyle="1" w:styleId="15">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942</Words>
  <Characters>5372</Characters>
  <Lines>44</Lines>
  <Paragraphs>12</Paragraphs>
  <TotalTime>36</TotalTime>
  <ScaleCrop>false</ScaleCrop>
  <LinksUpToDate>false</LinksUpToDate>
  <CharactersWithSpaces>6302</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2022-08-10T08:33:00Z</dcterms:created>
  <dc:creator>CMCC_TJY</dc:creator>
  <cp:lastModifiedBy>cmcc</cp:lastModifiedBy>
  <dcterms:modified xsi:type="dcterms:W3CDTF">2022-08-10T08:36:05Z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C4BFBDF0754647989A975FFADBC4E8DD</vt:lpwstr>
  </property>
</Properties>
</file>